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b w:val="1"/>
          <w:color w:val="222222"/>
        </w:rPr>
      </w:pPr>
      <w:r w:rsidDel="00000000" w:rsidR="00000000" w:rsidRPr="00000000">
        <w:rPr>
          <w:rFonts w:ascii="Tahoma" w:cs="Tahoma" w:eastAsia="Tahoma" w:hAnsi="Tahoma"/>
          <w:b w:val="1"/>
          <w:color w:val="222222"/>
          <w:rtl w:val="0"/>
        </w:rPr>
        <w:t xml:space="preserve">"What to expect at funerals" Handout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For those of you who have not attended a visitation or a funeral, here are some helpful points of what to expect/suggestions: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222222"/>
          <w:rtl w:val="0"/>
        </w:rPr>
        <w:t xml:space="preserve">Visitation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You can attend for just a couple of minutes or stay and chat for the entire length. (Do not feel the need to stay for the full length)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This is the time to extend your condolences to the family. Simply saying, “You have my condolences” and shaking hands is sufficient if you have no other words. 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color w:val="222222"/>
          <w:u w:val="none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You can share a brief story/anecdote/memory of a positive attribute of the lost loved one. 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If you feel compelled to help the grieving family, you can offer to bring a meal, do an errand or chore, sit &amp; listen, etc.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Opportunity to bring a card (Not required)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Casual clothing is acceptable.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Take time to sign the guest book.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Sometimes visitations will have an open casket viewing to allow everyone time to pay their respects and see the person for the last time.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View pictures and be together </w:t>
      </w:r>
    </w:p>
    <w:p w:rsidR="00000000" w:rsidDel="00000000" w:rsidP="00000000" w:rsidRDefault="00000000" w:rsidRPr="00000000" w14:paraId="0000000F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ahoma" w:cs="Tahoma" w:eastAsia="Tahoma" w:hAnsi="Tahoma"/>
          <w:b w:val="1"/>
          <w:i w:val="1"/>
          <w:color w:val="222222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222222"/>
          <w:rtl w:val="0"/>
        </w:rPr>
        <w:t xml:space="preserve">Funeral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Arrive Early; it’s important to not walk in while the service is in session.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Find your group and sit together. There is often reserved seating for family or other groups. Please be mindful of that.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Formal Dress for this occasion.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No expectation to attend the burial ceremony after the service.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color w:val="222222"/>
        </w:rPr>
      </w:pPr>
      <w:r w:rsidDel="00000000" w:rsidR="00000000" w:rsidRPr="00000000">
        <w:rPr>
          <w:rFonts w:ascii="Tahoma" w:cs="Tahoma" w:eastAsia="Tahoma" w:hAnsi="Tahoma"/>
          <w:color w:val="222222"/>
          <w:rtl w:val="0"/>
        </w:rPr>
        <w:t xml:space="preserve">The service should take approximately 1 hour.</w:t>
        <w:br w:type="textWrapping"/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